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35A9B0" w14:textId="466793F1" w:rsidR="007560B7" w:rsidRDefault="007560B7" w:rsidP="00965991">
      <w:pPr>
        <w:tabs>
          <w:tab w:val="center" w:pos="4536"/>
          <w:tab w:val="right" w:pos="9180"/>
          <w:tab w:val="right" w:pos="9781"/>
        </w:tabs>
        <w:ind w:right="-58"/>
        <w:rPr>
          <w:rFonts w:ascii="Arial" w:hAnsi="Arial" w:cs="Arial"/>
          <w:b/>
          <w:bCs/>
          <w:sz w:val="28"/>
        </w:rPr>
      </w:pPr>
      <w:bookmarkStart w:id="0" w:name="OLE_LINK6"/>
      <w:bookmarkStart w:id="1" w:name="OLE_LINK7"/>
      <w:r>
        <w:rPr>
          <w:rFonts w:ascii="Arial" w:hAnsi="Arial" w:cs="Arial"/>
          <w:b/>
          <w:bCs/>
          <w:sz w:val="28"/>
        </w:rPr>
        <w:t>3GPP TSG RAN WG1 Meeting #86</w:t>
      </w:r>
      <w:r>
        <w:rPr>
          <w:rFonts w:ascii="Arial" w:hAnsi="Arial" w:cs="Arial"/>
          <w:b/>
          <w:bCs/>
          <w:sz w:val="28"/>
        </w:rPr>
        <w:tab/>
      </w:r>
      <w:r>
        <w:rPr>
          <w:rFonts w:ascii="Arial" w:hAnsi="Arial" w:cs="Arial"/>
          <w:b/>
          <w:bCs/>
          <w:sz w:val="28"/>
        </w:rPr>
        <w:tab/>
      </w:r>
      <w:r w:rsidR="00335B11" w:rsidRPr="00335B11">
        <w:rPr>
          <w:rFonts w:ascii="Arial" w:hAnsi="Arial" w:cs="Arial"/>
          <w:b/>
          <w:bCs/>
          <w:sz w:val="28"/>
        </w:rPr>
        <w:t>R1-16629</w:t>
      </w:r>
      <w:r w:rsidR="007F18A6">
        <w:rPr>
          <w:rFonts w:ascii="Arial" w:hAnsi="Arial" w:cs="Arial"/>
          <w:b/>
          <w:bCs/>
          <w:sz w:val="28"/>
        </w:rPr>
        <w:t>7</w:t>
      </w:r>
    </w:p>
    <w:p w14:paraId="40BBAF56" w14:textId="77777777" w:rsidR="007560B7" w:rsidRDefault="007560B7" w:rsidP="007560B7">
      <w:pPr>
        <w:tabs>
          <w:tab w:val="center" w:pos="4536"/>
          <w:tab w:val="right" w:pos="8280"/>
          <w:tab w:val="right" w:pos="9781"/>
        </w:tabs>
        <w:ind w:right="-58"/>
        <w:rPr>
          <w:rFonts w:ascii="Arial" w:hAnsi="Arial" w:cs="Arial"/>
          <w:b/>
          <w:bCs/>
          <w:sz w:val="28"/>
        </w:rPr>
      </w:pPr>
      <w:r>
        <w:rPr>
          <w:rFonts w:ascii="Arial" w:hAnsi="Arial" w:cs="Arial"/>
          <w:b/>
          <w:bCs/>
          <w:sz w:val="28"/>
        </w:rPr>
        <w:t>Gothenburg, Sweden 22</w:t>
      </w:r>
      <w:r>
        <w:rPr>
          <w:rFonts w:ascii="Arial" w:hAnsi="Arial" w:cs="Arial"/>
          <w:b/>
          <w:bCs/>
          <w:sz w:val="28"/>
          <w:vertAlign w:val="superscript"/>
        </w:rPr>
        <w:t>nd</w:t>
      </w:r>
      <w:r>
        <w:rPr>
          <w:rFonts w:ascii="Arial" w:hAnsi="Arial" w:cs="Arial"/>
          <w:b/>
          <w:bCs/>
          <w:sz w:val="28"/>
        </w:rPr>
        <w:t xml:space="preserve"> - 26</w:t>
      </w:r>
      <w:r>
        <w:rPr>
          <w:rFonts w:ascii="Arial" w:hAnsi="Arial" w:cs="Arial"/>
          <w:b/>
          <w:bCs/>
          <w:sz w:val="28"/>
          <w:vertAlign w:val="superscript"/>
        </w:rPr>
        <w:t>th</w:t>
      </w:r>
      <w:r>
        <w:rPr>
          <w:rFonts w:ascii="Arial" w:hAnsi="Arial" w:cs="Arial"/>
          <w:b/>
          <w:bCs/>
          <w:sz w:val="28"/>
        </w:rPr>
        <w:t xml:space="preserve"> August 2016</w:t>
      </w:r>
    </w:p>
    <w:p w14:paraId="7B424D61" w14:textId="77777777" w:rsidR="007560B7" w:rsidRPr="000F29F8" w:rsidRDefault="007560B7" w:rsidP="007560B7">
      <w:pPr>
        <w:widowControl/>
        <w:tabs>
          <w:tab w:val="right" w:pos="9630"/>
        </w:tabs>
        <w:wordWrap/>
        <w:autoSpaceDE/>
        <w:autoSpaceDN/>
        <w:jc w:val="left"/>
        <w:rPr>
          <w:rFonts w:ascii="Arial" w:eastAsia="SimSun" w:hAnsi="Arial" w:cs="Arial"/>
          <w:b/>
          <w:kern w:val="0"/>
          <w:sz w:val="24"/>
          <w:lang w:eastAsia="en-US"/>
        </w:rPr>
      </w:pPr>
    </w:p>
    <w:p w14:paraId="399F8BF5" w14:textId="79E72C1F" w:rsidR="007560B7" w:rsidRPr="000F29F8" w:rsidRDefault="007560B7" w:rsidP="007560B7">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Pr="000F29F8">
        <w:rPr>
          <w:rFonts w:ascii="Arial" w:hAnsi="Arial" w:cs="Arial"/>
          <w:snapToGrid w:val="0"/>
          <w:sz w:val="24"/>
        </w:rPr>
        <w:t xml:space="preserve"> </w:t>
      </w:r>
      <w:r w:rsidR="00335B11">
        <w:rPr>
          <w:rFonts w:ascii="Arial" w:hAnsi="Arial" w:cs="Arial"/>
          <w:snapToGrid w:val="0"/>
          <w:sz w:val="24"/>
        </w:rPr>
        <w:t xml:space="preserve">   7.2.10</w:t>
      </w:r>
      <w:r>
        <w:rPr>
          <w:rFonts w:ascii="Arial" w:hAnsi="Arial" w:cs="Arial"/>
          <w:snapToGrid w:val="0"/>
          <w:sz w:val="24"/>
        </w:rPr>
        <w:t>.</w:t>
      </w:r>
      <w:r w:rsidR="007F18A6">
        <w:rPr>
          <w:rFonts w:ascii="Arial" w:hAnsi="Arial" w:cs="Arial"/>
          <w:snapToGrid w:val="0"/>
          <w:sz w:val="24"/>
        </w:rPr>
        <w:t>1</w:t>
      </w:r>
    </w:p>
    <w:p w14:paraId="38C90A73" w14:textId="77777777" w:rsidR="007560B7" w:rsidRPr="001903B5" w:rsidRDefault="007560B7" w:rsidP="007560B7">
      <w:pPr>
        <w:wordWrap/>
        <w:adjustRightInd w:val="0"/>
        <w:snapToGrid w:val="0"/>
        <w:spacing w:line="360" w:lineRule="auto"/>
        <w:rPr>
          <w:rFonts w:ascii="Arial" w:hAnsi="Arial"/>
          <w:sz w:val="24"/>
        </w:rPr>
      </w:pPr>
      <w:r w:rsidRPr="000F29F8">
        <w:rPr>
          <w:rFonts w:ascii="Arial" w:hAnsi="Arial" w:cs="Arial"/>
          <w:b/>
          <w:snapToGrid w:val="0"/>
          <w:sz w:val="24"/>
        </w:rPr>
        <w:t>Source:</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Qualcomm</w:t>
      </w:r>
      <w:r w:rsidRPr="00321217">
        <w:rPr>
          <w:rFonts w:ascii="Arial" w:eastAsia="SimSun" w:hAnsi="Arial" w:cs="Arial" w:hint="eastAsia"/>
          <w:snapToGrid w:val="0"/>
          <w:sz w:val="24"/>
          <w:lang w:eastAsia="zh-CN"/>
        </w:rPr>
        <w:t xml:space="preserve"> </w:t>
      </w:r>
      <w:r>
        <w:rPr>
          <w:rFonts w:ascii="Arial" w:hAnsi="Arial"/>
          <w:sz w:val="24"/>
        </w:rPr>
        <w:t>Incorporated</w:t>
      </w:r>
    </w:p>
    <w:p w14:paraId="7FABE148" w14:textId="389B711C" w:rsidR="00335B11"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Pr>
          <w:rFonts w:ascii="Arial" w:hAnsi="Arial" w:cs="Arial"/>
          <w:b/>
          <w:snapToGrid w:val="0"/>
          <w:sz w:val="24"/>
        </w:rPr>
        <w:t xml:space="preserve">                 </w:t>
      </w:r>
      <w:r w:rsidR="00335B11" w:rsidRPr="00335B11">
        <w:rPr>
          <w:rFonts w:ascii="Arial" w:hAnsi="Arial" w:cs="Arial"/>
          <w:snapToGrid w:val="0"/>
          <w:sz w:val="24"/>
        </w:rPr>
        <w:t xml:space="preserve">Support of </w:t>
      </w:r>
      <w:r w:rsidR="007F18A6">
        <w:rPr>
          <w:rFonts w:ascii="Arial" w:hAnsi="Arial" w:cs="Arial"/>
          <w:snapToGrid w:val="0"/>
          <w:sz w:val="24"/>
        </w:rPr>
        <w:t>larger data channel bandwidth</w:t>
      </w:r>
    </w:p>
    <w:p w14:paraId="62BEAD57" w14:textId="7FEE7D64" w:rsidR="007560B7" w:rsidRPr="000F29F8"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Discussion</w:t>
      </w:r>
      <w:r w:rsidRPr="00321217">
        <w:rPr>
          <w:rFonts w:ascii="Arial" w:eastAsia="SimSun" w:hAnsi="Arial" w:cs="Arial" w:hint="eastAsia"/>
          <w:snapToGrid w:val="0"/>
          <w:sz w:val="24"/>
          <w:lang w:eastAsia="zh-CN"/>
        </w:rPr>
        <w:t xml:space="preserve"> and </w:t>
      </w:r>
      <w:r>
        <w:rPr>
          <w:rFonts w:ascii="Arial" w:hAnsi="Arial" w:cs="Arial"/>
          <w:snapToGrid w:val="0"/>
          <w:sz w:val="24"/>
        </w:rPr>
        <w:t>Decision</w:t>
      </w:r>
      <w:r w:rsidRPr="000F29F8">
        <w:rPr>
          <w:rFonts w:ascii="Arial" w:hAnsi="Arial" w:cs="Arial"/>
          <w:snapToGrid w:val="0"/>
          <w:sz w:val="24"/>
        </w:rPr>
        <w:t xml:space="preserve"> </w:t>
      </w:r>
    </w:p>
    <w:p w14:paraId="7AB7E55C" w14:textId="77777777" w:rsidR="00E80D0C" w:rsidRPr="00392E7D" w:rsidRDefault="00E80D0C" w:rsidP="00E80D0C">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3815B707" w14:textId="579D1944" w:rsidR="006F5C8E" w:rsidRDefault="003775E1"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In RAN#7</w:t>
      </w:r>
      <w:r w:rsidR="0050693F">
        <w:rPr>
          <w:rFonts w:ascii="Times New Roman"/>
          <w:snapToGrid w:val="0"/>
          <w:kern w:val="0"/>
          <w:sz w:val="22"/>
          <w:szCs w:val="22"/>
          <w:lang w:val="en-GB"/>
        </w:rPr>
        <w:t>2</w:t>
      </w:r>
      <w:r>
        <w:rPr>
          <w:rFonts w:ascii="Times New Roman"/>
          <w:snapToGrid w:val="0"/>
          <w:kern w:val="0"/>
          <w:sz w:val="22"/>
          <w:szCs w:val="22"/>
          <w:lang w:val="en-GB"/>
        </w:rPr>
        <w:t xml:space="preserve"> a new work item (WI) named </w:t>
      </w:r>
      <w:r w:rsidR="0050693F">
        <w:rPr>
          <w:rFonts w:ascii="Times New Roman"/>
          <w:i/>
          <w:snapToGrid w:val="0"/>
          <w:kern w:val="0"/>
          <w:sz w:val="22"/>
          <w:szCs w:val="22"/>
          <w:lang w:val="en-GB"/>
        </w:rPr>
        <w:t xml:space="preserve">further enhancements for MTC </w:t>
      </w:r>
      <w:r>
        <w:rPr>
          <w:rFonts w:ascii="Times New Roman"/>
          <w:snapToGrid w:val="0"/>
          <w:kern w:val="0"/>
          <w:sz w:val="22"/>
          <w:szCs w:val="22"/>
          <w:lang w:val="en-GB"/>
        </w:rPr>
        <w:t xml:space="preserve">[1] was introduced. </w:t>
      </w:r>
      <w:r w:rsidR="00FF47FD">
        <w:rPr>
          <w:rFonts w:ascii="Times New Roman"/>
          <w:snapToGrid w:val="0"/>
          <w:kern w:val="0"/>
          <w:sz w:val="22"/>
          <w:szCs w:val="22"/>
          <w:lang w:val="en-GB"/>
        </w:rPr>
        <w:t>The objectives of the WI include the support of positioning, multicast, mobility enhancements and higher data rates.</w:t>
      </w:r>
    </w:p>
    <w:p w14:paraId="572EC5FB" w14:textId="77777777" w:rsidR="006F5C8E" w:rsidRDefault="006F5C8E" w:rsidP="00111B9A">
      <w:pPr>
        <w:overflowPunct w:val="0"/>
        <w:adjustRightInd w:val="0"/>
        <w:spacing w:after="120"/>
        <w:contextualSpacing/>
        <w:textAlignment w:val="baseline"/>
        <w:rPr>
          <w:rFonts w:ascii="Times New Roman"/>
          <w:snapToGrid w:val="0"/>
          <w:kern w:val="0"/>
          <w:sz w:val="22"/>
          <w:szCs w:val="22"/>
          <w:lang w:val="en-GB"/>
        </w:rPr>
      </w:pPr>
    </w:p>
    <w:p w14:paraId="4AF8E9B7" w14:textId="2637A3CF" w:rsidR="00111B9A" w:rsidRPr="00111B9A" w:rsidRDefault="003775E1"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 xml:space="preserve">In this document we provide our views on the support of </w:t>
      </w:r>
      <w:r w:rsidR="007F18A6">
        <w:rPr>
          <w:rFonts w:ascii="Times New Roman"/>
          <w:snapToGrid w:val="0"/>
          <w:kern w:val="0"/>
          <w:sz w:val="22"/>
          <w:szCs w:val="22"/>
          <w:lang w:val="en-GB"/>
        </w:rPr>
        <w:t>larger data channel bandwidth in FeMTC</w:t>
      </w:r>
      <w:r w:rsidR="00A33FC8">
        <w:rPr>
          <w:rFonts w:ascii="Times New Roman"/>
          <w:snapToGrid w:val="0"/>
          <w:kern w:val="0"/>
          <w:sz w:val="22"/>
          <w:szCs w:val="22"/>
          <w:lang w:val="en-GB"/>
        </w:rPr>
        <w:t>.</w:t>
      </w:r>
    </w:p>
    <w:p w14:paraId="225AC796" w14:textId="77777777" w:rsidR="00D57529" w:rsidRPr="00111B9A" w:rsidRDefault="00D57529" w:rsidP="00D57529">
      <w:pPr>
        <w:pStyle w:val="LGTdoc0"/>
        <w:spacing w:afterLines="0" w:after="120" w:line="240" w:lineRule="auto"/>
        <w:ind w:left="792"/>
        <w:rPr>
          <w:szCs w:val="22"/>
        </w:rPr>
      </w:pPr>
    </w:p>
    <w:p w14:paraId="0DD87E91" w14:textId="2921A7CA" w:rsidR="00547160" w:rsidRDefault="007F18A6" w:rsidP="00181D01">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Benefits of larger data channel bandwidth</w:t>
      </w:r>
    </w:p>
    <w:p w14:paraId="4FA60303" w14:textId="77777777" w:rsidR="00C25628" w:rsidRDefault="00C25628" w:rsidP="00C25628">
      <w:pPr>
        <w:pStyle w:val="LGTdoc1"/>
        <w:spacing w:beforeLines="0" w:before="120" w:after="220" w:afterAutospacing="0"/>
        <w:rPr>
          <w:b w:val="0"/>
          <w:sz w:val="22"/>
          <w:szCs w:val="22"/>
        </w:rPr>
      </w:pPr>
      <w:r w:rsidRPr="00C25628">
        <w:rPr>
          <w:b w:val="0"/>
          <w:sz w:val="22"/>
          <w:szCs w:val="22"/>
        </w:rPr>
        <w:t xml:space="preserve">One of the </w:t>
      </w:r>
      <w:r>
        <w:rPr>
          <w:b w:val="0"/>
          <w:sz w:val="22"/>
          <w:szCs w:val="22"/>
        </w:rPr>
        <w:t>benefits of larger data channel bandwidth in [1] was the support of voice applications, which includes enhancing the coverage of VoLTE applications. In our view, the benefit of larger bandwidth for this kind of application is limited and/or can be obtained with a Rel-13 eMTC UE with alternative techniques:</w:t>
      </w:r>
    </w:p>
    <w:p w14:paraId="4C37A02D" w14:textId="798719BC" w:rsidR="00C25628" w:rsidRPr="00C25628" w:rsidRDefault="00C25628" w:rsidP="00C25628">
      <w:pPr>
        <w:pStyle w:val="LGTdoc1"/>
        <w:numPr>
          <w:ilvl w:val="0"/>
          <w:numId w:val="12"/>
        </w:numPr>
        <w:spacing w:beforeLines="0" w:before="120" w:after="220" w:afterAutospacing="0"/>
        <w:rPr>
          <w:b w:val="0"/>
          <w:sz w:val="22"/>
          <w:szCs w:val="22"/>
          <w:u w:val="single"/>
        </w:rPr>
      </w:pPr>
      <w:r w:rsidRPr="00C25628">
        <w:rPr>
          <w:b w:val="0"/>
          <w:sz w:val="22"/>
          <w:szCs w:val="22"/>
          <w:u w:val="single"/>
        </w:rPr>
        <w:t xml:space="preserve"> Power boosting vs larger bandwidth</w:t>
      </w:r>
      <w:r>
        <w:rPr>
          <w:b w:val="0"/>
          <w:sz w:val="22"/>
          <w:szCs w:val="22"/>
          <w:u w:val="single"/>
        </w:rPr>
        <w:t xml:space="preserve">: </w:t>
      </w:r>
      <w:r w:rsidR="005A4F5E">
        <w:rPr>
          <w:b w:val="0"/>
          <w:sz w:val="22"/>
          <w:szCs w:val="22"/>
        </w:rPr>
        <w:t>The necessary SNR for PDSCH carrying VoLTE is expected to be rather small, so increasing bandwidth does not provide any coding gain, but only energy gain. In this sense, a similar performance can be achieved by power boosting 6PRB. For example, if 12PRB are needed for PDSCH, a similar performance should be achieved with 6PRB and 3dB power boosting by leaving another PRB empty. The usual assumption is that up to 6dB power boosting is allowed, which would be equivalent to 24 PRB PDSCH transmission.</w:t>
      </w:r>
    </w:p>
    <w:p w14:paraId="631BCDA6" w14:textId="3ADD3346" w:rsidR="00C25628" w:rsidRPr="00100BC4" w:rsidRDefault="00C25628" w:rsidP="00C25628">
      <w:pPr>
        <w:pStyle w:val="LGTdoc1"/>
        <w:numPr>
          <w:ilvl w:val="0"/>
          <w:numId w:val="12"/>
        </w:numPr>
        <w:spacing w:beforeLines="0" w:before="120" w:after="220" w:afterAutospacing="0"/>
        <w:rPr>
          <w:b w:val="0"/>
          <w:sz w:val="22"/>
          <w:szCs w:val="22"/>
          <w:u w:val="single"/>
        </w:rPr>
      </w:pPr>
      <w:r w:rsidRPr="00C25628">
        <w:rPr>
          <w:b w:val="0"/>
          <w:sz w:val="22"/>
          <w:szCs w:val="22"/>
          <w:u w:val="single"/>
        </w:rPr>
        <w:t>Overall network capacity:</w:t>
      </w:r>
      <w:r w:rsidR="005A4F5E">
        <w:rPr>
          <w:b w:val="0"/>
          <w:sz w:val="22"/>
          <w:szCs w:val="22"/>
          <w:u w:val="single"/>
        </w:rPr>
        <w:t xml:space="preserve"> </w:t>
      </w:r>
      <w:r w:rsidR="005A4F5E">
        <w:rPr>
          <w:b w:val="0"/>
          <w:sz w:val="22"/>
          <w:szCs w:val="22"/>
        </w:rPr>
        <w:t>It should not be expected to have many UEs in the cell requiring the allocation of a large number of RBs to support VoLTE</w:t>
      </w:r>
      <w:r w:rsidR="00100BC4">
        <w:rPr>
          <w:b w:val="0"/>
          <w:sz w:val="22"/>
          <w:szCs w:val="22"/>
        </w:rPr>
        <w:t>. Usually VoLTE requires a small number of RBs, since the TB sizes used are usually rather small compared with the ones used for data services. If eMTC needs a large number of RBs to operate (e.g. 24RBs) the VoLTE capacity of a cell may be reduced.</w:t>
      </w:r>
    </w:p>
    <w:p w14:paraId="0F805D47" w14:textId="5F123CE9" w:rsidR="006F05CF" w:rsidRDefault="007F18A6" w:rsidP="005142E4">
      <w:pPr>
        <w:pStyle w:val="LGTdoc1"/>
        <w:spacing w:beforeLines="0" w:before="120" w:after="220" w:afterAutospacing="0"/>
        <w:rPr>
          <w:sz w:val="22"/>
          <w:szCs w:val="22"/>
        </w:rPr>
      </w:pPr>
      <w:r w:rsidRPr="007F18A6">
        <w:rPr>
          <w:sz w:val="22"/>
          <w:szCs w:val="22"/>
          <w:u w:val="single"/>
        </w:rPr>
        <w:t>Observation 1:</w:t>
      </w:r>
      <w:r>
        <w:rPr>
          <w:sz w:val="22"/>
          <w:szCs w:val="22"/>
        </w:rPr>
        <w:t xml:space="preserve"> </w:t>
      </w:r>
      <w:r w:rsidR="00C25628">
        <w:rPr>
          <w:sz w:val="22"/>
          <w:szCs w:val="22"/>
        </w:rPr>
        <w:t>For VoLTE, s</w:t>
      </w:r>
      <w:r>
        <w:rPr>
          <w:sz w:val="22"/>
          <w:szCs w:val="22"/>
        </w:rPr>
        <w:t>imilar coverage can be achieved with PDSCH power boosting without increasing the PDSCH channel bandwidth</w:t>
      </w:r>
    </w:p>
    <w:p w14:paraId="6FBE102A" w14:textId="62915D23" w:rsidR="007F18A6" w:rsidRDefault="00965991" w:rsidP="00965991">
      <w:pPr>
        <w:pStyle w:val="LGTdoc0"/>
        <w:spacing w:afterLines="0" w:after="120" w:line="240" w:lineRule="auto"/>
        <w:rPr>
          <w:szCs w:val="22"/>
        </w:rPr>
      </w:pPr>
      <w:r>
        <w:rPr>
          <w:szCs w:val="22"/>
        </w:rPr>
        <w:t>In our view, the use case for wider bandwidth needs to be discussed and agreed upon before making any decision on the support of wider bandwidth.</w:t>
      </w:r>
    </w:p>
    <w:p w14:paraId="7DAF05F7" w14:textId="7264CE6F" w:rsidR="00965991" w:rsidRDefault="00965991" w:rsidP="00965991">
      <w:pPr>
        <w:pStyle w:val="LGTdoc0"/>
        <w:spacing w:afterLines="0" w:after="120" w:line="240" w:lineRule="auto"/>
        <w:rPr>
          <w:b/>
          <w:szCs w:val="22"/>
        </w:rPr>
      </w:pPr>
      <w:r>
        <w:rPr>
          <w:b/>
          <w:szCs w:val="22"/>
          <w:u w:val="single"/>
        </w:rPr>
        <w:t xml:space="preserve">Observation 2: </w:t>
      </w:r>
      <w:r>
        <w:rPr>
          <w:b/>
          <w:szCs w:val="22"/>
        </w:rPr>
        <w:t>The use case for wider bandwidth in eMTC applications is not clear, and should be agreed upon before deciding to introduce its support.</w:t>
      </w:r>
    </w:p>
    <w:p w14:paraId="20506546" w14:textId="3E057090" w:rsidR="00965991" w:rsidRPr="00965991" w:rsidRDefault="00965991" w:rsidP="00965991">
      <w:pPr>
        <w:pStyle w:val="LGTdoc0"/>
        <w:spacing w:afterLines="0" w:after="120" w:line="240" w:lineRule="auto"/>
        <w:rPr>
          <w:szCs w:val="22"/>
        </w:rPr>
      </w:pPr>
      <w:r w:rsidRPr="00965991">
        <w:rPr>
          <w:szCs w:val="22"/>
        </w:rPr>
        <w:t>In case RAN1</w:t>
      </w:r>
      <w:r>
        <w:rPr>
          <w:szCs w:val="22"/>
        </w:rPr>
        <w:t xml:space="preserve"> can show the benefits of this wider bandwidth for some eMTC-related applications, we present some design details that should be applicable to any bandwidth value.</w:t>
      </w:r>
    </w:p>
    <w:p w14:paraId="5304DD25" w14:textId="77777777" w:rsidR="00100BC4" w:rsidRPr="00111B9A" w:rsidRDefault="00100BC4" w:rsidP="005A4F5E">
      <w:pPr>
        <w:pStyle w:val="LGTdoc0"/>
        <w:spacing w:afterLines="0" w:after="120" w:line="240" w:lineRule="auto"/>
        <w:rPr>
          <w:szCs w:val="22"/>
        </w:rPr>
      </w:pPr>
    </w:p>
    <w:p w14:paraId="697EFE16" w14:textId="7BE8BBA9" w:rsidR="007F18A6" w:rsidRDefault="007F18A6" w:rsidP="007F18A6">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Configuration details</w:t>
      </w:r>
    </w:p>
    <w:p w14:paraId="53072371" w14:textId="0D03A1B3" w:rsidR="00100BC4" w:rsidRDefault="00100BC4" w:rsidP="00100BC4">
      <w:pPr>
        <w:pStyle w:val="LGTdoc1"/>
        <w:spacing w:beforeLines="0" w:before="120" w:after="220" w:afterAutospacing="0"/>
        <w:rPr>
          <w:rFonts w:ascii="Arial" w:hAnsi="Arial" w:cs="Arial"/>
          <w:lang w:val="en-US"/>
        </w:rPr>
      </w:pPr>
      <w:r>
        <w:rPr>
          <w:b w:val="0"/>
          <w:sz w:val="22"/>
          <w:szCs w:val="22"/>
        </w:rPr>
        <w:t>In [1] the support of larger bandwidth is limited to connected mode UEs</w:t>
      </w:r>
      <w:r w:rsidR="00C1373D">
        <w:rPr>
          <w:b w:val="0"/>
          <w:sz w:val="22"/>
          <w:szCs w:val="22"/>
        </w:rPr>
        <w:t xml:space="preserve">. This implies the UE reporting its capability to support larger bandwidth, and then the eNB acting accordingly. In general, some degree of control of the eNB is desirable to enable this wider bandwidth operation (e.g. if a particular eNB is not upgraded yet to support larger bandwidth), so it should only be enabled after the eNB configures the UE to </w:t>
      </w:r>
      <w:r w:rsidR="00C1373D">
        <w:rPr>
          <w:b w:val="0"/>
          <w:sz w:val="22"/>
          <w:szCs w:val="22"/>
        </w:rPr>
        <w:lastRenderedPageBreak/>
        <w:t xml:space="preserve">do so. In this sense, the most straightforward </w:t>
      </w:r>
      <w:r w:rsidR="0028056B">
        <w:rPr>
          <w:b w:val="0"/>
          <w:sz w:val="22"/>
          <w:szCs w:val="22"/>
        </w:rPr>
        <w:t>manner to enable this wider bandwidth is by semi-statically enabling the larger bandwidth mode by RRC configuration.</w:t>
      </w:r>
    </w:p>
    <w:p w14:paraId="7CA4B0AD" w14:textId="3CEFA120" w:rsidR="00100BC4" w:rsidRDefault="00100BC4" w:rsidP="00100BC4">
      <w:pPr>
        <w:pStyle w:val="LGTdoc1"/>
        <w:spacing w:beforeLines="0" w:before="120" w:after="220" w:afterAutospacing="0"/>
        <w:rPr>
          <w:sz w:val="22"/>
          <w:szCs w:val="22"/>
        </w:rPr>
      </w:pPr>
      <w:r w:rsidRPr="00100BC4">
        <w:rPr>
          <w:sz w:val="22"/>
          <w:szCs w:val="22"/>
          <w:u w:val="single"/>
        </w:rPr>
        <w:t>Proposal 1:</w:t>
      </w:r>
      <w:r>
        <w:rPr>
          <w:sz w:val="22"/>
          <w:szCs w:val="22"/>
          <w:u w:val="single"/>
        </w:rPr>
        <w:t xml:space="preserve"> </w:t>
      </w:r>
      <w:r>
        <w:rPr>
          <w:sz w:val="22"/>
          <w:szCs w:val="22"/>
        </w:rPr>
        <w:t>The wider bandwidth operation</w:t>
      </w:r>
      <w:r w:rsidR="00600863">
        <w:rPr>
          <w:sz w:val="22"/>
          <w:szCs w:val="22"/>
        </w:rPr>
        <w:t>, if defined,</w:t>
      </w:r>
      <w:r>
        <w:rPr>
          <w:sz w:val="22"/>
          <w:szCs w:val="22"/>
        </w:rPr>
        <w:t xml:space="preserve"> is semi-statically enabled by eNB (RRC configuration)</w:t>
      </w:r>
    </w:p>
    <w:p w14:paraId="5F5EFDBB" w14:textId="77777777" w:rsidR="0028056B" w:rsidRPr="00100BC4" w:rsidRDefault="0028056B" w:rsidP="00100BC4">
      <w:pPr>
        <w:pStyle w:val="LGTdoc1"/>
        <w:spacing w:beforeLines="0" w:before="120" w:after="220" w:afterAutospacing="0"/>
        <w:rPr>
          <w:rFonts w:ascii="Arial" w:hAnsi="Arial" w:cs="Arial"/>
          <w:lang w:val="en-US"/>
        </w:rPr>
      </w:pPr>
    </w:p>
    <w:p w14:paraId="10D0506B" w14:textId="09961CF0" w:rsidR="007F18A6" w:rsidRDefault="007F18A6" w:rsidP="007F18A6">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Interaction with MPDCCH and DCI</w:t>
      </w:r>
    </w:p>
    <w:p w14:paraId="4E9C9B39" w14:textId="53A90924" w:rsidR="0028056B" w:rsidRDefault="0028056B" w:rsidP="0028056B">
      <w:pPr>
        <w:rPr>
          <w:rFonts w:ascii="Times New Roman"/>
          <w:sz w:val="22"/>
          <w:szCs w:val="22"/>
        </w:rPr>
      </w:pPr>
      <w:r>
        <w:rPr>
          <w:rFonts w:ascii="Times New Roman"/>
          <w:sz w:val="22"/>
          <w:szCs w:val="22"/>
        </w:rPr>
        <w:t>Once the UE is configured with increased bandwidth operation, it only affects the PDSCH and PUSCH bandwidth</w:t>
      </w:r>
      <w:r w:rsidR="00965991">
        <w:rPr>
          <w:rFonts w:ascii="Times New Roman"/>
          <w:sz w:val="22"/>
          <w:szCs w:val="22"/>
        </w:rPr>
        <w:t xml:space="preserve"> [1]</w:t>
      </w:r>
      <w:r>
        <w:rPr>
          <w:rFonts w:ascii="Times New Roman"/>
          <w:sz w:val="22"/>
          <w:szCs w:val="22"/>
        </w:rPr>
        <w:t xml:space="preserve">. The control channel (MPDCCH) bandwidth </w:t>
      </w:r>
      <w:r w:rsidR="00965991">
        <w:rPr>
          <w:rFonts w:ascii="Times New Roman"/>
          <w:sz w:val="22"/>
          <w:szCs w:val="22"/>
        </w:rPr>
        <w:t>should be</w:t>
      </w:r>
      <w:r>
        <w:rPr>
          <w:rFonts w:ascii="Times New Roman"/>
          <w:sz w:val="22"/>
          <w:szCs w:val="22"/>
        </w:rPr>
        <w:t xml:space="preserve"> kept to 6RBs, and it should be feasible for the UE to monitor MPDCCH </w:t>
      </w:r>
      <w:r w:rsidR="00965991">
        <w:rPr>
          <w:rFonts w:ascii="Times New Roman"/>
          <w:sz w:val="22"/>
          <w:szCs w:val="22"/>
        </w:rPr>
        <w:t xml:space="preserve">using a </w:t>
      </w:r>
      <w:r w:rsidR="00965991">
        <w:rPr>
          <w:rFonts w:ascii="Times New Roman"/>
          <w:i/>
          <w:sz w:val="22"/>
          <w:szCs w:val="22"/>
        </w:rPr>
        <w:t>narrowband</w:t>
      </w:r>
      <w:r w:rsidR="00965991">
        <w:rPr>
          <w:rFonts w:ascii="Times New Roman"/>
          <w:sz w:val="22"/>
          <w:szCs w:val="22"/>
        </w:rPr>
        <w:t xml:space="preserve"> mode. This way, the </w:t>
      </w:r>
      <w:r w:rsidR="00A506AE">
        <w:rPr>
          <w:rFonts w:ascii="Times New Roman"/>
          <w:sz w:val="22"/>
          <w:szCs w:val="22"/>
        </w:rPr>
        <w:t>UE can reduce power consumption while being able to decode the grants for wideband PDSCH. This operation is depicted in Figure 1</w:t>
      </w:r>
    </w:p>
    <w:p w14:paraId="042FCDC2" w14:textId="77777777" w:rsidR="00A506AE" w:rsidRDefault="00A506AE" w:rsidP="00600863">
      <w:pPr>
        <w:keepNext/>
        <w:jc w:val="center"/>
      </w:pPr>
      <w:r w:rsidRPr="00A506AE">
        <w:rPr>
          <w:rFonts w:ascii="Times New Roman"/>
          <w:sz w:val="22"/>
          <w:szCs w:val="22"/>
        </w:rPr>
        <w:object w:dxaOrig="8342" w:dyaOrig="5854" w14:anchorId="3BA6CD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75pt;height:357.3pt" o:ole="">
            <v:imagedata r:id="rId14" o:title=""/>
          </v:shape>
          <o:OLEObject Type="Embed" ProgID="Visio.Drawing.11" ShapeID="_x0000_i1025" DrawAspect="Content" ObjectID="_1532446837" r:id="rId15"/>
        </w:object>
      </w:r>
    </w:p>
    <w:p w14:paraId="7B144507" w14:textId="5CB92A8A" w:rsidR="00A506AE" w:rsidRDefault="00A506AE" w:rsidP="00A506AE">
      <w:pPr>
        <w:pStyle w:val="Caption"/>
        <w:jc w:val="both"/>
      </w:pPr>
      <w:r>
        <w:t xml:space="preserve">Figure </w:t>
      </w:r>
      <w:r>
        <w:fldChar w:fldCharType="begin"/>
      </w:r>
      <w:r>
        <w:instrText xml:space="preserve"> SEQ Figure \* ARABIC </w:instrText>
      </w:r>
      <w:r>
        <w:fldChar w:fldCharType="separate"/>
      </w:r>
      <w:r>
        <w:rPr>
          <w:noProof/>
        </w:rPr>
        <w:t>1</w:t>
      </w:r>
      <w:r>
        <w:fldChar w:fldCharType="end"/>
      </w:r>
      <w:r>
        <w:t xml:space="preserve"> </w:t>
      </w:r>
      <w:r w:rsidR="00600863">
        <w:t xml:space="preserve">The UE monitors MPDCCH in </w:t>
      </w:r>
      <w:r w:rsidR="00600863">
        <w:rPr>
          <w:i/>
        </w:rPr>
        <w:t xml:space="preserve">narrowband </w:t>
      </w:r>
      <w:r w:rsidR="00600863">
        <w:t xml:space="preserve"> mode until a wideband grant is received, then moves the RF to wideband mode</w:t>
      </w:r>
    </w:p>
    <w:p w14:paraId="46A1E2C6" w14:textId="0C1460DA" w:rsidR="00600863" w:rsidRDefault="00600863" w:rsidP="00600863">
      <w:pPr>
        <w:rPr>
          <w:lang w:val="en-GB" w:eastAsia="en-US"/>
        </w:rPr>
      </w:pPr>
      <w:r>
        <w:rPr>
          <w:rFonts w:ascii="Times New Roman"/>
          <w:sz w:val="22"/>
          <w:szCs w:val="22"/>
        </w:rPr>
        <w:t>This operation requires the scheduling timing to be similar to Rel-13 eMTC, i.e., MPDCCH is cross-subframe scheduled with a grant received in subframe N scheduling PDSCH in subframe N+2.</w:t>
      </w:r>
    </w:p>
    <w:p w14:paraId="7CC8075E" w14:textId="3AB0617F" w:rsidR="00600863" w:rsidRDefault="00600863" w:rsidP="00600863">
      <w:pPr>
        <w:pStyle w:val="LGTdoc1"/>
        <w:spacing w:beforeLines="0" w:before="120" w:after="220" w:afterAutospacing="0"/>
        <w:rPr>
          <w:sz w:val="22"/>
          <w:szCs w:val="22"/>
        </w:rPr>
      </w:pPr>
      <w:r w:rsidRPr="00100BC4">
        <w:rPr>
          <w:sz w:val="22"/>
          <w:szCs w:val="22"/>
          <w:u w:val="single"/>
        </w:rPr>
        <w:t xml:space="preserve">Proposal </w:t>
      </w:r>
      <w:r>
        <w:rPr>
          <w:sz w:val="22"/>
          <w:szCs w:val="22"/>
          <w:u w:val="single"/>
        </w:rPr>
        <w:t>2</w:t>
      </w:r>
      <w:r w:rsidRPr="00100BC4">
        <w:rPr>
          <w:sz w:val="22"/>
          <w:szCs w:val="22"/>
          <w:u w:val="single"/>
        </w:rPr>
        <w:t>:</w:t>
      </w:r>
      <w:r>
        <w:rPr>
          <w:sz w:val="22"/>
          <w:szCs w:val="22"/>
          <w:u w:val="single"/>
        </w:rPr>
        <w:t xml:space="preserve"> </w:t>
      </w:r>
      <w:r>
        <w:rPr>
          <w:sz w:val="22"/>
          <w:szCs w:val="22"/>
        </w:rPr>
        <w:t>Wider bandwidth PDSCH, if defined, is cross subframe scheduled by MPDCCH. MPDCCH follows Rel-13 design, and can be decoded by a UE operating in narrowband mode (6RB).</w:t>
      </w:r>
    </w:p>
    <w:p w14:paraId="385CECFA" w14:textId="329B5138" w:rsidR="00600863" w:rsidRDefault="00600863" w:rsidP="0028056B">
      <w:pPr>
        <w:rPr>
          <w:rFonts w:ascii="Times New Roman"/>
          <w:sz w:val="22"/>
          <w:szCs w:val="22"/>
        </w:rPr>
      </w:pPr>
      <w:r>
        <w:rPr>
          <w:rFonts w:ascii="Times New Roman"/>
          <w:sz w:val="22"/>
          <w:szCs w:val="22"/>
        </w:rPr>
        <w:t xml:space="preserve">The switching between narrowband and wideband mode requires some RF reconfiguration that may take some time, thus creating an interruption in the PDSCH/MPDCCH reception. </w:t>
      </w:r>
    </w:p>
    <w:p w14:paraId="0B879276" w14:textId="77777777" w:rsidR="00600863" w:rsidRDefault="00600863" w:rsidP="0028056B">
      <w:pPr>
        <w:rPr>
          <w:rFonts w:ascii="Times New Roman"/>
          <w:sz w:val="22"/>
          <w:szCs w:val="22"/>
        </w:rPr>
      </w:pPr>
    </w:p>
    <w:p w14:paraId="2CA36FF5" w14:textId="615376C3" w:rsidR="00600863" w:rsidRDefault="00600863" w:rsidP="0028056B">
      <w:pPr>
        <w:rPr>
          <w:rFonts w:ascii="Times New Roman"/>
          <w:b/>
          <w:sz w:val="22"/>
          <w:szCs w:val="22"/>
        </w:rPr>
      </w:pPr>
      <w:r w:rsidRPr="00600863">
        <w:rPr>
          <w:rFonts w:ascii="Times New Roman"/>
          <w:b/>
          <w:sz w:val="22"/>
          <w:szCs w:val="22"/>
          <w:u w:val="single"/>
        </w:rPr>
        <w:t>Observation 3:</w:t>
      </w:r>
      <w:r>
        <w:rPr>
          <w:rFonts w:ascii="Times New Roman"/>
          <w:b/>
          <w:sz w:val="22"/>
          <w:szCs w:val="22"/>
          <w:u w:val="single"/>
        </w:rPr>
        <w:t xml:space="preserve"> </w:t>
      </w:r>
      <w:r>
        <w:rPr>
          <w:rFonts w:ascii="Times New Roman"/>
          <w:b/>
          <w:sz w:val="22"/>
          <w:szCs w:val="22"/>
        </w:rPr>
        <w:t>Moving from narrowband mode to wideband mode may create an interruption. RAN1 should consider sending an LS to RAN4, if necessary.</w:t>
      </w:r>
    </w:p>
    <w:p w14:paraId="730238A2" w14:textId="31DB7F11" w:rsidR="00600863" w:rsidRDefault="00600863" w:rsidP="0028056B">
      <w:pPr>
        <w:rPr>
          <w:rFonts w:ascii="Times New Roman"/>
          <w:b/>
          <w:sz w:val="22"/>
          <w:szCs w:val="22"/>
          <w:u w:val="single"/>
        </w:rPr>
      </w:pPr>
      <w:r>
        <w:rPr>
          <w:rFonts w:ascii="Times New Roman"/>
          <w:sz w:val="22"/>
          <w:szCs w:val="22"/>
        </w:rPr>
        <w:lastRenderedPageBreak/>
        <w:t>If wideband PDSCH/PUSCH are introduced for Rel-14, new grants may be necessary, as the resource allocation, TBS, etc. may change with respect to Rel-13. If this is the case, the number of MPDCCH blind decodings should be kept the same as Rel-13 eMTC. This would enable low-power and low-complexity monitoring of MPDCCH while enabling higher data rates. If necessary, a narrowband fallback grant can be still monitored in the common search space, similar to Rel-13 behavior.</w:t>
      </w:r>
    </w:p>
    <w:p w14:paraId="37438F18" w14:textId="77777777" w:rsidR="00600863" w:rsidRDefault="00600863" w:rsidP="0028056B">
      <w:pPr>
        <w:rPr>
          <w:rFonts w:ascii="Times New Roman"/>
          <w:b/>
          <w:sz w:val="22"/>
          <w:szCs w:val="22"/>
          <w:u w:val="single"/>
        </w:rPr>
      </w:pPr>
    </w:p>
    <w:p w14:paraId="2E034FF6" w14:textId="57A06113" w:rsidR="00600863" w:rsidRPr="00600863" w:rsidRDefault="00600863" w:rsidP="0028056B">
      <w:pPr>
        <w:rPr>
          <w:rFonts w:ascii="Times New Roman"/>
          <w:b/>
          <w:sz w:val="22"/>
          <w:szCs w:val="22"/>
        </w:rPr>
      </w:pPr>
      <w:r w:rsidRPr="00600863">
        <w:rPr>
          <w:rFonts w:ascii="Times New Roman"/>
          <w:b/>
          <w:sz w:val="22"/>
          <w:szCs w:val="22"/>
          <w:u w:val="single"/>
        </w:rPr>
        <w:t>Proposal 3:</w:t>
      </w:r>
      <w:r>
        <w:rPr>
          <w:rFonts w:ascii="Times New Roman"/>
          <w:b/>
          <w:sz w:val="22"/>
          <w:szCs w:val="22"/>
        </w:rPr>
        <w:t xml:space="preserve"> If a new grant is introduced for wideband PDSCH/PUSCH, the number of blind decodings of MPDCCH does not increase with respect to Rel-13 eMTC</w:t>
      </w:r>
    </w:p>
    <w:p w14:paraId="6B0A666C" w14:textId="77777777" w:rsidR="00600863" w:rsidRPr="00600863" w:rsidRDefault="00600863" w:rsidP="0028056B">
      <w:pPr>
        <w:rPr>
          <w:rFonts w:ascii="Times New Roman"/>
          <w:b/>
          <w:sz w:val="22"/>
          <w:szCs w:val="22"/>
        </w:rPr>
      </w:pPr>
    </w:p>
    <w:p w14:paraId="5C07F31E" w14:textId="77777777" w:rsidR="007F18A6" w:rsidRPr="007F18A6" w:rsidRDefault="007F18A6" w:rsidP="007F18A6">
      <w:pPr>
        <w:pStyle w:val="LGTdoc1"/>
        <w:spacing w:beforeLines="0" w:before="120" w:after="220" w:afterAutospacing="0"/>
        <w:ind w:left="720"/>
        <w:rPr>
          <w:sz w:val="22"/>
          <w:szCs w:val="22"/>
          <w:lang w:val="en-US"/>
        </w:rPr>
      </w:pPr>
    </w:p>
    <w:p w14:paraId="0AE73D74" w14:textId="64078794" w:rsidR="00C34876" w:rsidRDefault="00C34876" w:rsidP="00181D01">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Summary</w:t>
      </w:r>
    </w:p>
    <w:p w14:paraId="4F00C4F8" w14:textId="636B171A" w:rsidR="00BA0848" w:rsidRDefault="00A92BB5" w:rsidP="00A92BB5">
      <w:pPr>
        <w:pStyle w:val="LGTdoc1"/>
        <w:spacing w:beforeLines="0" w:before="120" w:after="220" w:afterAutospacing="0"/>
        <w:rPr>
          <w:rFonts w:ascii="Arial" w:hAnsi="Arial" w:cs="Arial"/>
          <w:lang w:val="en-US"/>
        </w:rPr>
      </w:pPr>
      <w:r w:rsidRPr="00A92BB5">
        <w:rPr>
          <w:b w:val="0"/>
          <w:snapToGrid/>
          <w:kern w:val="2"/>
          <w:sz w:val="22"/>
          <w:szCs w:val="22"/>
          <w:lang w:val="en-US"/>
        </w:rPr>
        <w:t>In this contribution we present our views on the support of larger data channel bandwidth for eMTC</w:t>
      </w:r>
      <w:r>
        <w:rPr>
          <w:b w:val="0"/>
          <w:snapToGrid/>
          <w:kern w:val="2"/>
          <w:sz w:val="22"/>
          <w:szCs w:val="22"/>
          <w:lang w:val="en-US"/>
        </w:rPr>
        <w:t>. In general, we do not see a clear use case for support of larger data channel bandwidth, which should be clarified before agreeing to any specific solutions. In case that use case is identified, we presented some design details that may be applicable to any bandwidth value.</w:t>
      </w:r>
      <w:bookmarkStart w:id="2" w:name="_GoBack"/>
      <w:bookmarkEnd w:id="2"/>
    </w:p>
    <w:bookmarkEnd w:id="0"/>
    <w:bookmarkEnd w:id="1"/>
    <w:p w14:paraId="3E7B8F35" w14:textId="77777777" w:rsidR="00600863" w:rsidRDefault="00600863" w:rsidP="00600863">
      <w:pPr>
        <w:pStyle w:val="LGTdoc1"/>
        <w:spacing w:beforeLines="0" w:before="120" w:after="220" w:afterAutospacing="0"/>
        <w:rPr>
          <w:sz w:val="22"/>
          <w:szCs w:val="22"/>
        </w:rPr>
      </w:pPr>
      <w:r w:rsidRPr="007F18A6">
        <w:rPr>
          <w:sz w:val="22"/>
          <w:szCs w:val="22"/>
          <w:u w:val="single"/>
        </w:rPr>
        <w:t>Observation 1:</w:t>
      </w:r>
      <w:r>
        <w:rPr>
          <w:sz w:val="22"/>
          <w:szCs w:val="22"/>
        </w:rPr>
        <w:t xml:space="preserve"> For VoLTE, similar coverage can be achieved with PDSCH power boosting without increasing the PDSCH channel bandwidth</w:t>
      </w:r>
    </w:p>
    <w:p w14:paraId="50B46E6A" w14:textId="641BEAEE" w:rsidR="00600863" w:rsidRPr="00600863" w:rsidRDefault="00600863" w:rsidP="00BA0848">
      <w:pPr>
        <w:pStyle w:val="LGTdoc0"/>
        <w:spacing w:afterLines="0" w:after="120" w:line="240" w:lineRule="auto"/>
        <w:rPr>
          <w:b/>
          <w:szCs w:val="22"/>
        </w:rPr>
      </w:pPr>
      <w:r>
        <w:rPr>
          <w:b/>
          <w:szCs w:val="22"/>
          <w:u w:val="single"/>
        </w:rPr>
        <w:t xml:space="preserve">Observation 2: </w:t>
      </w:r>
      <w:r>
        <w:rPr>
          <w:b/>
          <w:szCs w:val="22"/>
        </w:rPr>
        <w:t>The use case for wider bandwidth in eMTC applications is not clear, and should be agreed upon before deciding to introduce its support.</w:t>
      </w:r>
    </w:p>
    <w:p w14:paraId="552C0FC5" w14:textId="77777777" w:rsidR="00A33FC8" w:rsidRPr="00600863" w:rsidRDefault="00A33FC8" w:rsidP="006F5C8E">
      <w:pPr>
        <w:pStyle w:val="LGTdoc1"/>
        <w:spacing w:beforeLines="0" w:before="120" w:after="220" w:afterAutospacing="0"/>
        <w:rPr>
          <w:sz w:val="22"/>
          <w:szCs w:val="22"/>
          <w:lang w:val="en-US"/>
        </w:rPr>
      </w:pPr>
    </w:p>
    <w:p w14:paraId="47A6B625" w14:textId="77777777" w:rsidR="00E77804" w:rsidRDefault="00E77804" w:rsidP="00E77804">
      <w:pPr>
        <w:pStyle w:val="LGTdoc1"/>
        <w:spacing w:beforeLines="0" w:before="120" w:after="220" w:afterAutospacing="0"/>
        <w:rPr>
          <w:rFonts w:ascii="Arial" w:hAnsi="Arial" w:cs="Arial"/>
          <w:lang w:val="en-US"/>
        </w:rPr>
      </w:pPr>
      <w:r>
        <w:rPr>
          <w:rFonts w:ascii="Arial" w:hAnsi="Arial" w:cs="Arial"/>
          <w:lang w:val="en-US"/>
        </w:rPr>
        <w:t>References</w:t>
      </w:r>
    </w:p>
    <w:p w14:paraId="2DFA7387" w14:textId="3E29A784" w:rsidR="007560B7" w:rsidRDefault="00E77804" w:rsidP="00FF47FD">
      <w:pPr>
        <w:pStyle w:val="LGTdoc1"/>
        <w:spacing w:before="120" w:after="220"/>
        <w:rPr>
          <w:b w:val="0"/>
          <w:sz w:val="22"/>
          <w:szCs w:val="22"/>
        </w:rPr>
      </w:pPr>
      <w:r w:rsidRPr="00FF47FD">
        <w:rPr>
          <w:b w:val="0"/>
          <w:sz w:val="22"/>
          <w:szCs w:val="22"/>
        </w:rPr>
        <w:t xml:space="preserve">[1] </w:t>
      </w:r>
      <w:r w:rsidR="00FF47FD" w:rsidRPr="00FF47FD">
        <w:rPr>
          <w:b w:val="0"/>
          <w:sz w:val="22"/>
          <w:szCs w:val="22"/>
        </w:rPr>
        <w:t>RP-161321</w:t>
      </w:r>
      <w:r w:rsidRPr="00FF47FD">
        <w:rPr>
          <w:b w:val="0"/>
          <w:sz w:val="22"/>
          <w:szCs w:val="22"/>
        </w:rPr>
        <w:t>, “</w:t>
      </w:r>
      <w:r w:rsidR="00FF47FD" w:rsidRPr="00FF47FD">
        <w:rPr>
          <w:b w:val="0"/>
          <w:sz w:val="22"/>
          <w:szCs w:val="22"/>
        </w:rPr>
        <w:t xml:space="preserve">New WI proposal on Further Enhanced MTC </w:t>
      </w:r>
      <w:r w:rsidRPr="00FF47FD">
        <w:rPr>
          <w:b w:val="0"/>
          <w:sz w:val="22"/>
          <w:szCs w:val="22"/>
        </w:rPr>
        <w:t xml:space="preserve">“, </w:t>
      </w:r>
      <w:r w:rsidR="003775E1" w:rsidRPr="00FF47FD">
        <w:rPr>
          <w:b w:val="0"/>
          <w:sz w:val="22"/>
          <w:szCs w:val="22"/>
        </w:rPr>
        <w:t>Ericsson</w:t>
      </w:r>
      <w:r w:rsidR="00EF71A8" w:rsidRPr="00FF47FD">
        <w:rPr>
          <w:b w:val="0"/>
          <w:sz w:val="22"/>
          <w:szCs w:val="22"/>
        </w:rPr>
        <w:t xml:space="preserve">; </w:t>
      </w:r>
      <w:r w:rsidR="00FF47FD">
        <w:rPr>
          <w:b w:val="0"/>
          <w:sz w:val="22"/>
          <w:szCs w:val="22"/>
        </w:rPr>
        <w:t xml:space="preserve">3GPP TSG RAN Meeting #72, </w:t>
      </w:r>
      <w:r w:rsidR="00FF47FD" w:rsidRPr="00FF47FD">
        <w:rPr>
          <w:b w:val="0"/>
          <w:sz w:val="22"/>
          <w:szCs w:val="22"/>
        </w:rPr>
        <w:t>Busan, Korea, June 13 - 16, 2016</w:t>
      </w:r>
    </w:p>
    <w:sectPr w:rsidR="007560B7" w:rsidSect="00B47B85">
      <w:footerReference w:type="even" r:id="rId16"/>
      <w:footerReference w:type="default" r:id="rId17"/>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D12CCB" w14:textId="77777777" w:rsidR="00445A4F" w:rsidRDefault="00445A4F">
      <w:r>
        <w:separator/>
      </w:r>
    </w:p>
  </w:endnote>
  <w:endnote w:type="continuationSeparator" w:id="0">
    <w:p w14:paraId="0A8FA5B1" w14:textId="77777777" w:rsidR="00445A4F" w:rsidRDefault="00445A4F">
      <w:r>
        <w:continuationSeparator/>
      </w:r>
    </w:p>
  </w:endnote>
  <w:endnote w:type="continuationNotice" w:id="1">
    <w:p w14:paraId="3EFB14A3" w14:textId="77777777" w:rsidR="00445A4F" w:rsidRDefault="00445A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92BB5">
      <w:rPr>
        <w:rStyle w:val="PageNumber"/>
        <w:noProof/>
      </w:rPr>
      <w:t>1</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A8F3BE" w14:textId="77777777" w:rsidR="00445A4F" w:rsidRDefault="00445A4F">
      <w:r>
        <w:separator/>
      </w:r>
    </w:p>
  </w:footnote>
  <w:footnote w:type="continuationSeparator" w:id="0">
    <w:p w14:paraId="1E64C538" w14:textId="77777777" w:rsidR="00445A4F" w:rsidRDefault="00445A4F">
      <w:r>
        <w:continuationSeparator/>
      </w:r>
    </w:p>
  </w:footnote>
  <w:footnote w:type="continuationNotice" w:id="1">
    <w:p w14:paraId="51FA4483" w14:textId="77777777" w:rsidR="00445A4F" w:rsidRDefault="00445A4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 w15:restartNumberingAfterBreak="0">
    <w:nsid w:val="10827328"/>
    <w:multiLevelType w:val="hybridMultilevel"/>
    <w:tmpl w:val="E01ADDD0"/>
    <w:lvl w:ilvl="0" w:tplc="C1D8F078">
      <w:numFmt w:val="bullet"/>
      <w:lvlText w:val="-"/>
      <w:lvlJc w:val="left"/>
      <w:pPr>
        <w:ind w:left="1155" w:hanging="360"/>
      </w:pPr>
      <w:rPr>
        <w:rFonts w:ascii="Times New Roman" w:eastAsia="Batang" w:hAnsi="Times New Roman" w:cs="Times New Roman" w:hint="default"/>
      </w:rPr>
    </w:lvl>
    <w:lvl w:ilvl="1" w:tplc="04090003">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 w15:restartNumberingAfterBreak="0">
    <w:nsid w:val="206D28E2"/>
    <w:multiLevelType w:val="hybridMultilevel"/>
    <w:tmpl w:val="0350617A"/>
    <w:lvl w:ilvl="0" w:tplc="BD3C2EAC">
      <w:start w:val="2"/>
      <w:numFmt w:val="bullet"/>
      <w:lvlText w:val="-"/>
      <w:lvlJc w:val="left"/>
      <w:pPr>
        <w:ind w:left="720" w:hanging="360"/>
      </w:pPr>
      <w:rPr>
        <w:rFonts w:ascii="Arial" w:eastAsia="Gulim" w:hAnsi="Arial" w:cs="Arial" w:hint="default"/>
        <w:b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4D3F3C9C"/>
    <w:multiLevelType w:val="hybridMultilevel"/>
    <w:tmpl w:val="A39E7F06"/>
    <w:lvl w:ilvl="0" w:tplc="91A62C60">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7"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8"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325145"/>
    <w:multiLevelType w:val="hybridMultilevel"/>
    <w:tmpl w:val="64B02B84"/>
    <w:lvl w:ilvl="0" w:tplc="3730BF74">
      <w:start w:val="2"/>
      <w:numFmt w:val="bullet"/>
      <w:lvlText w:val="-"/>
      <w:lvlJc w:val="left"/>
      <w:pPr>
        <w:ind w:left="792" w:hanging="360"/>
      </w:pPr>
      <w:rPr>
        <w:rFonts w:ascii="Times New Roman" w:eastAsia="Batang" w:hAnsi="Times New Roman" w:cs="Times New Roman" w:hint="default"/>
        <w:b w:val="0"/>
        <w:sz w:val="22"/>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0"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11"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4"/>
  </w:num>
  <w:num w:numId="2">
    <w:abstractNumId w:val="3"/>
  </w:num>
  <w:num w:numId="3">
    <w:abstractNumId w:val="6"/>
  </w:num>
  <w:num w:numId="4">
    <w:abstractNumId w:val="8"/>
  </w:num>
  <w:num w:numId="5">
    <w:abstractNumId w:val="10"/>
  </w:num>
  <w:num w:numId="6">
    <w:abstractNumId w:val="0"/>
  </w:num>
  <w:num w:numId="7">
    <w:abstractNumId w:val="11"/>
  </w:num>
  <w:num w:numId="8">
    <w:abstractNumId w:val="7"/>
  </w:num>
  <w:num w:numId="9">
    <w:abstractNumId w:val="1"/>
  </w:num>
  <w:num w:numId="10">
    <w:abstractNumId w:val="2"/>
  </w:num>
  <w:num w:numId="11">
    <w:abstractNumId w:val="9"/>
  </w:num>
  <w:num w:numId="12">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BC4"/>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6B"/>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B39"/>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5A4F"/>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2E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3"/>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4F5E"/>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863"/>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A6"/>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706"/>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991"/>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4F02"/>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6AE"/>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21A5"/>
    <w:rsid w:val="00A92BB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945"/>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848"/>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5BCC"/>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73D"/>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628"/>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4876"/>
    <w:rsid w:val="00C35574"/>
    <w:rsid w:val="00C355F6"/>
    <w:rsid w:val="00C3562D"/>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5ACTRJNS4X5K-3-3634</_dlc_DocId>
    <_dlc_DocIdUrl xmlns="09bf1062-b00c-4aa1-ba18-87ca9e63a56e">
      <Url>https://projects.qualcomm.com/sites/espresso/_layouts/15/DocIdRedir.aspx?ID=5ACTRJNS4X5K-3-3634</Url>
      <Description>5ACTRJNS4X5K-3-3634</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4.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3.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4.xml><?xml version="1.0" encoding="utf-8"?>
<ds:datastoreItem xmlns:ds="http://schemas.openxmlformats.org/officeDocument/2006/customXml" ds:itemID="{FD6434E7-065A-41E7-BEC3-FDF83E4C53B7}">
  <ds:schemaRefs>
    <ds:schemaRef ds:uri="office.server.policy"/>
  </ds:schemaRefs>
</ds:datastoreItem>
</file>

<file path=customXml/itemProps5.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6958E5E-84BB-4E09-9F2D-2AF5B231742B}">
  <ds:schemaRefs>
    <ds:schemaRef ds:uri="http://schemas.openxmlformats.org/officeDocument/2006/bibliography"/>
  </ds:schemaRefs>
</ds:datastoreItem>
</file>

<file path=customXml/itemProps7.xml><?xml version="1.0" encoding="utf-8"?>
<ds:datastoreItem xmlns:ds="http://schemas.openxmlformats.org/officeDocument/2006/customXml" ds:itemID="{FE90B195-E303-4090-B23E-4BE3710C8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1416</TotalTime>
  <Pages>3</Pages>
  <Words>883</Words>
  <Characters>5037</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5909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Rico Alvarino, Alberto</cp:lastModifiedBy>
  <cp:revision>32</cp:revision>
  <cp:lastPrinted>2010-08-13T21:54:00Z</cp:lastPrinted>
  <dcterms:created xsi:type="dcterms:W3CDTF">2016-03-22T22:35:00Z</dcterms:created>
  <dcterms:modified xsi:type="dcterms:W3CDTF">2016-08-12T01:53:00Z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-1100489522</vt:i4>
  </property>
  <property fmtid="{D5CDD505-2E9C-101B-9397-08002B2CF9AE}" pid="3" name="_NewReviewCycle">
    <vt:lpwstr/>
  </property>
  <property fmtid="{D5CDD505-2E9C-101B-9397-08002B2CF9AE}" pid="4" name="_EmailSubject">
    <vt:lpwstr>common control messages</vt:lpwstr>
  </property>
  <property fmtid="{D5CDD505-2E9C-101B-9397-08002B2CF9AE}" pid="5" name="_AuthorEmail">
    <vt:lpwstr>hxu@qti.qualcomm.com</vt:lpwstr>
  </property>
  <property fmtid="{D5CDD505-2E9C-101B-9397-08002B2CF9AE}" pid="6" name="_AuthorEmailDisplayName">
    <vt:lpwstr>Xu, Hao</vt:lpwstr>
  </property>
  <property fmtid="{D5CDD505-2E9C-101B-9397-08002B2CF9AE}" pid="7" name="_ReviewingToolsShownOnce">
    <vt:lpwstr/>
  </property>
  <property fmtid="{D5CDD505-2E9C-101B-9397-08002B2CF9AE}" pid="8" name="ContentTypeId">
    <vt:lpwstr>0x0101008A98423170284BEEB635F43C3CF4E98B008B3A1EAE7955594BB5B58FB10F3F7793</vt:lpwstr>
  </property>
  <property fmtid="{D5CDD505-2E9C-101B-9397-08002B2CF9AE}" pid="9" name="_dlc_DocIdItemGuid">
    <vt:lpwstr>4c2f5d8d-864b-41f6-b49e-a6021d065a1a</vt:lpwstr>
  </property>
</Properties>
</file>